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55C1" w14:textId="08B1CB4F"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14:paraId="2EEE4B99" w14:textId="7963B0B8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14:paraId="365D5A7C" w14:textId="0651AA4F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  <w:r w:rsidR="00D5539D">
        <w:rPr>
          <w:rFonts w:cstheme="minorHAnsi"/>
          <w:b/>
          <w:color w:val="2F5496" w:themeColor="accent1" w:themeShade="BF"/>
          <w:sz w:val="28"/>
          <w:szCs w:val="28"/>
        </w:rPr>
        <w:t xml:space="preserve">                                                    </w:t>
      </w:r>
    </w:p>
    <w:p w14:paraId="6B132A9F" w14:textId="77777777"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C3BA9D1" w14:textId="420C5C69"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14:paraId="05080936" w14:textId="1E541412" w:rsidR="00CF37A3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9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1CFFAAB9" w14:textId="7FB9DF3F" w:rsidR="00AE6B41" w:rsidRPr="008C52F8" w:rsidRDefault="00CF37A3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  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από </w:t>
      </w:r>
      <w:r w:rsidR="00C93EE8">
        <w:rPr>
          <w:rFonts w:cstheme="minorHAnsi"/>
          <w:b/>
          <w:color w:val="000000"/>
          <w:sz w:val="56"/>
          <w:szCs w:val="56"/>
        </w:rPr>
        <w:t>21</w:t>
      </w:r>
      <w:r w:rsidR="00CE6E92" w:rsidRPr="00D9767D">
        <w:rPr>
          <w:rFonts w:cstheme="minorHAnsi"/>
          <w:b/>
          <w:color w:val="000000"/>
          <w:sz w:val="56"/>
          <w:szCs w:val="56"/>
        </w:rPr>
        <w:t>-10</w:t>
      </w:r>
      <w:r w:rsidR="00AE6B41" w:rsidRPr="00A04A25">
        <w:rPr>
          <w:rFonts w:cstheme="minorHAnsi"/>
          <w:b/>
          <w:color w:val="000000"/>
          <w:sz w:val="56"/>
          <w:szCs w:val="56"/>
        </w:rPr>
        <w:t>-202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 έως </w:t>
      </w:r>
      <w:r w:rsidR="00C93EE8">
        <w:rPr>
          <w:rFonts w:cstheme="minorHAnsi"/>
          <w:b/>
          <w:color w:val="000000"/>
          <w:sz w:val="56"/>
          <w:szCs w:val="56"/>
        </w:rPr>
        <w:t>31</w:t>
      </w:r>
      <w:r w:rsidR="00CE6E92" w:rsidRPr="00D9767D">
        <w:rPr>
          <w:rFonts w:cstheme="minorHAnsi"/>
          <w:b/>
          <w:color w:val="000000"/>
          <w:sz w:val="56"/>
          <w:szCs w:val="56"/>
        </w:rPr>
        <w:t>-10-</w:t>
      </w:r>
      <w:r w:rsidR="00AE6B41" w:rsidRPr="00A04A25">
        <w:rPr>
          <w:rFonts w:cstheme="minorHAnsi"/>
          <w:b/>
          <w:color w:val="000000"/>
          <w:sz w:val="56"/>
          <w:szCs w:val="56"/>
        </w:rPr>
        <w:t>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</w:p>
    <w:p w14:paraId="55208D4A" w14:textId="1AFEFFC5"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14:paraId="5CD93542" w14:textId="77777777"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486974B" w14:textId="33EAD712"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0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="00140B09" w:rsidRPr="001B0C25">
        <w:rPr>
          <w:rFonts w:cstheme="minorHAnsi"/>
          <w:sz w:val="24"/>
          <w:szCs w:val="24"/>
        </w:rPr>
        <w:t xml:space="preserve"> </w:t>
      </w:r>
      <w:bookmarkEnd w:id="0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5A66D370" w14:textId="240EC929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35CA5C8F" w14:textId="77777777"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14:paraId="2F4DB0DE" w14:textId="77777777"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14:paraId="52870319" w14:textId="6CDAA529"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140B09" w:rsidRPr="00312A9D">
        <w:rPr>
          <w:rFonts w:cstheme="minorHAnsi"/>
          <w:color w:val="FF0000"/>
          <w:sz w:val="24"/>
          <w:szCs w:val="24"/>
        </w:rPr>
        <w:t xml:space="preserve"> 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 w:rsidR="00140B09">
        <w:rPr>
          <w:rFonts w:cstheme="minorHAnsi"/>
          <w:sz w:val="24"/>
          <w:szCs w:val="24"/>
        </w:rPr>
        <w:t xml:space="preserve"> </w:t>
      </w:r>
      <w:r w:rsidR="00E32262">
        <w:rPr>
          <w:rFonts w:cstheme="minorHAnsi"/>
          <w:sz w:val="24"/>
          <w:szCs w:val="24"/>
        </w:rPr>
        <w:t xml:space="preserve">αλλά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14:paraId="208EB6BE" w14:textId="30ABD17E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14:paraId="1E0556A4" w14:textId="55343605"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από </w:t>
      </w:r>
      <w:r w:rsidRPr="00E05B27">
        <w:rPr>
          <w:rFonts w:cstheme="minorHAnsi"/>
          <w:sz w:val="24"/>
          <w:szCs w:val="24"/>
        </w:rPr>
        <w:lastRenderedPageBreak/>
        <w:t>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 w:rsidR="00312A9D">
        <w:rPr>
          <w:rFonts w:cstheme="minorHAnsi"/>
          <w:sz w:val="24"/>
          <w:szCs w:val="24"/>
        </w:rPr>
        <w:t xml:space="preserve"> </w:t>
      </w:r>
    </w:p>
    <w:p w14:paraId="4DD98D38" w14:textId="1E191558"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7EAE4458" w14:textId="49C691FC"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7E80E7C4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32483786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1786EA1F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2DD063F4" w14:textId="77777777"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14:paraId="2E97666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14:paraId="014134D3" w14:textId="173619BB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14:paraId="3D94323B" w14:textId="320F8BF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957E862" w14:textId="5B5219FA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3C7AF2EF" w14:textId="5024DF05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53C69410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42B1078" w14:textId="5718748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 w:rsidRPr="001C2E15">
        <w:rPr>
          <w:rFonts w:cstheme="minorHAnsi"/>
          <w:sz w:val="24"/>
          <w:szCs w:val="24"/>
        </w:rPr>
        <w:t xml:space="preserve"> 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14:paraId="0323793B" w14:textId="799CE45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14:paraId="02EE714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107D588A" w14:textId="77777777"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33BA6E23" w14:textId="0BFFFA05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14:paraId="121FF5ED" w14:textId="70F1E17C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14:paraId="40C39CD8" w14:textId="0558156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14:paraId="2B64DB51" w14:textId="7A065F2F"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14:paraId="15897F0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73E8BE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14:paraId="238987EB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6DAD0CF" w14:textId="0D8D32DD"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14:paraId="2B6F7911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2FF95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17E716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23A31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0F2A3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D448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8DE8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711F8F4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84517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5376A8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F6EF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5138C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FCCAF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A0446D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25543A1F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2C7DB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34EA6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11F5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0C6E6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F56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E2012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14:paraId="5AD84B57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B468D2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CA10AF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2EC01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8BC6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5A45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BF882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14:paraId="4346C2A3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36CF218C" w14:textId="7CE5020D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Δήμου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για τους φοιτητές των τμημάτων της  Αθήνας  και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4EA6D88C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CA5CBB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84356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01335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B6DA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4B03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D313A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02DCF43B" w14:textId="77777777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CE40A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9275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B354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AE02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BE9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52A6F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14:paraId="5B4F04E2" w14:textId="77777777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92376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1634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293B7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DB0D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C670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12A356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14:paraId="290AC6EC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017B3DD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0008F5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086D5F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FCB4B4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514E2B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D4AC8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14:paraId="0B9C8844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D7E26A0" w14:textId="77777777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14:paraId="01543250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0F245EC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14:paraId="213E5ACA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61AE7E1" w14:textId="53E4ACEF"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6E26109E" w14:textId="77777777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02DB14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F6508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C7D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DFAB2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B6734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E72334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62B38659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55877D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DF9F8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C7C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8EB3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99682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83DB77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5EC913E8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C3600CA" w14:textId="2FCAA3F0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285354B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30D92E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AC9B024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71118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D7B283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E841E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2350D7D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752F700A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1FE4F3C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2D69CFB9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F52B44A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2DB4AAF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1CCE036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4BC239C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14:paraId="2DD83AE3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37EA2D4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14:paraId="56A51DC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B57E97C" w14:textId="3F93E039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14:paraId="5ECB5AAC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7742C12" w14:textId="1B4ACB8E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 </w:t>
            </w:r>
            <w:r w:rsidR="00FE2EA3">
              <w:t xml:space="preserve"> </w:t>
            </w:r>
            <w:r>
              <w:t xml:space="preserve">25.000 </w:t>
            </w:r>
          </w:p>
        </w:tc>
      </w:tr>
      <w:tr w:rsidR="00140B09" w14:paraId="68E8ECBA" w14:textId="77777777" w:rsidTr="00A25A67">
        <w:tc>
          <w:tcPr>
            <w:tcW w:w="12753" w:type="dxa"/>
            <w:gridSpan w:val="6"/>
            <w:tcBorders>
              <w:top w:val="nil"/>
            </w:tcBorders>
          </w:tcPr>
          <w:p w14:paraId="3A6251CD" w14:textId="7A9806D8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</w:t>
            </w:r>
            <w:r w:rsidR="00D0433F">
              <w:rPr>
                <w:u w:val="single"/>
              </w:rPr>
              <w:t xml:space="preserve">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1"/>
    </w:tbl>
    <w:p w14:paraId="71BC7DCD" w14:textId="71A10D08"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673305E0" w14:textId="77777777"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14:paraId="2B754B80" w14:textId="77777777"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4DDE4145" w14:textId="2A6ABE61"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14:paraId="627AD0C0" w14:textId="24C1DD58"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>
        <w:rPr>
          <w:rFonts w:cstheme="minorHAnsi"/>
          <w:sz w:val="24"/>
          <w:szCs w:val="24"/>
        </w:rPr>
        <w:t xml:space="preserve"> 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0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="00140B09" w:rsidRPr="001B0C25">
        <w:rPr>
          <w:rFonts w:cstheme="minorHAnsi"/>
          <w:sz w:val="24"/>
          <w:szCs w:val="24"/>
        </w:rPr>
        <w:t xml:space="preserve"> </w:t>
      </w:r>
      <w:hyperlink r:id="rId11"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14:paraId="1CA74A0B" w14:textId="0603421B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14:paraId="58D037E0" w14:textId="0B6CE558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14:paraId="46FC68D6" w14:textId="77777777"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2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10EE1218" w14:textId="77777777"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2"/>
    <w:p w14:paraId="5320E33B" w14:textId="77777777"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2FBA29C6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13E15485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3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3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46741FA6" w14:textId="77777777"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6FEEF905" w14:textId="3063C0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 w:rsidRPr="00410474">
        <w:rPr>
          <w:rFonts w:cstheme="minorHAnsi"/>
          <w:color w:val="FF0000"/>
          <w:sz w:val="24"/>
          <w:szCs w:val="24"/>
        </w:rPr>
        <w:t xml:space="preserve"> </w:t>
      </w:r>
      <w:r w:rsidR="000248A6">
        <w:rPr>
          <w:rFonts w:cstheme="minorHAnsi"/>
          <w:color w:val="FF0000"/>
          <w:sz w:val="24"/>
          <w:szCs w:val="24"/>
        </w:rPr>
        <w:t xml:space="preserve"> </w:t>
      </w:r>
      <w:r w:rsidR="00913090">
        <w:rPr>
          <w:rFonts w:cstheme="minorHAnsi"/>
          <w:sz w:val="24"/>
          <w:szCs w:val="24"/>
        </w:rPr>
        <w:t>Όχι της μισθωμένης κατοικίας του φοιτητή</w:t>
      </w:r>
      <w:r w:rsidR="00083284">
        <w:rPr>
          <w:rFonts w:cstheme="minorHAnsi"/>
          <w:sz w:val="24"/>
          <w:szCs w:val="24"/>
        </w:rPr>
        <w:t xml:space="preserve"> </w:t>
      </w:r>
      <w:r w:rsidR="00162DA1">
        <w:rPr>
          <w:rFonts w:cstheme="minorHAnsi"/>
          <w:sz w:val="24"/>
          <w:szCs w:val="24"/>
        </w:rPr>
        <w:t>στην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3DD42D3A" w14:textId="5998FFFC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lastRenderedPageBreak/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0FD7E004" w14:textId="5DA159EF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67B9BA0A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5B230180" w14:textId="77777777"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65C6E560" w14:textId="3DC2D4AC"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4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1E2BA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4"/>
    </w:p>
    <w:p w14:paraId="5904B931" w14:textId="0F830973"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5" w:name="_Hlk200785763"/>
      <w:r w:rsidRPr="00AD7A44">
        <w:rPr>
          <w:rFonts w:cstheme="minorHAnsi"/>
          <w:b/>
          <w:sz w:val="24"/>
          <w:szCs w:val="24"/>
        </w:rPr>
        <w:t>4.1.</w:t>
      </w:r>
      <w:r w:rsidR="005B3920">
        <w:rPr>
          <w:rFonts w:cstheme="minorHAnsi"/>
          <w:bCs/>
          <w:sz w:val="24"/>
          <w:szCs w:val="24"/>
        </w:rPr>
        <w:t xml:space="preserve"> 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="002925AC"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="002925AC"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="002925AC" w:rsidRPr="005C6179">
        <w:rPr>
          <w:rFonts w:cstheme="minorHAnsi"/>
          <w:sz w:val="24"/>
          <w:szCs w:val="24"/>
        </w:rPr>
        <w:t>Taxisnet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 </w:t>
      </w:r>
      <w:r w:rsidR="002925AC" w:rsidRPr="005C6179">
        <w:t xml:space="preserve"> </w:t>
      </w:r>
      <w:hyperlink r:id="rId12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2925AC" w:rsidRPr="005C6179">
        <w:rPr>
          <w:rFonts w:cstheme="minorHAnsi"/>
          <w:sz w:val="24"/>
          <w:szCs w:val="24"/>
        </w:rPr>
        <w:t xml:space="preserve">  </w:t>
      </w:r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14:paraId="70317893" w14:textId="1F88DAB2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="00D01321"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6DBA83D2" w14:textId="32BB7EA9"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6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>
        <w:rPr>
          <w:rFonts w:cstheme="minorHAnsi"/>
          <w:sz w:val="24"/>
          <w:szCs w:val="24"/>
        </w:rPr>
        <w:t xml:space="preserve"> </w:t>
      </w:r>
      <w:r w:rsidR="00140B09"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140B09" w:rsidRPr="005C6179">
        <w:rPr>
          <w:rFonts w:cstheme="minorHAnsi"/>
          <w:bCs/>
          <w:sz w:val="24"/>
          <w:szCs w:val="24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</w:t>
      </w:r>
      <w:r w:rsidR="003C492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053B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>και των ΑΝΗΛΙΚΩΝ ΑΔΕΛΦΩΝ του φοιτητή.</w:t>
      </w:r>
      <w:r w:rsidR="00312A9D">
        <w:rPr>
          <w:rFonts w:cstheme="minorHAnsi"/>
          <w:sz w:val="24"/>
          <w:szCs w:val="24"/>
        </w:rPr>
        <w:t xml:space="preserve"> 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14:paraId="666E504A" w14:textId="696811FB"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 w:rsidR="002D49C2"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6"/>
    <w:p w14:paraId="4C4BA698" w14:textId="24DC90DD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="000053B2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4E9517D" w14:textId="4B8517A8"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722DEF56" w14:textId="00598ADC"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7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="00AB7A12" w:rsidRPr="00A06C2C">
        <w:rPr>
          <w:rFonts w:cstheme="minorHAnsi"/>
          <w:sz w:val="24"/>
          <w:szCs w:val="24"/>
          <w:u w:val="single"/>
        </w:rPr>
        <w:t xml:space="preserve">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5"/>
    </w:p>
    <w:p w14:paraId="6265CA1A" w14:textId="77777777"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bookmarkStart w:id="8" w:name="_Hlk210681813"/>
      <w:bookmarkEnd w:id="7"/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</w:t>
      </w:r>
      <w:bookmarkEnd w:id="8"/>
      <w:r w:rsidRPr="00951D3A">
        <w:rPr>
          <w:rFonts w:cstheme="minorHAnsi"/>
          <w:bCs/>
          <w:sz w:val="24"/>
          <w:szCs w:val="24"/>
        </w:rPr>
        <w:t xml:space="preserve">θα προσκομίζεται δικαστική απόφαση διαζυγίου ή στη περίπτωση διαστάσεως των γονέων, η επιμέλεια των </w:t>
      </w:r>
      <w:r w:rsidRPr="00951D3A">
        <w:rPr>
          <w:rFonts w:cstheme="minorHAnsi"/>
          <w:bCs/>
          <w:sz w:val="24"/>
          <w:szCs w:val="24"/>
        </w:rPr>
        <w:lastRenderedPageBreak/>
        <w:t xml:space="preserve">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4B0C6B30" w14:textId="2DC8AF95"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14:paraId="3678DB11" w14:textId="77777777"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74A13" w14:textId="77777777"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1E9437A7" w14:textId="77777777"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  <w:r w:rsidR="009F0228"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 </w:t>
      </w:r>
    </w:p>
    <w:p w14:paraId="2266571B" w14:textId="77777777"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74AC16" w14:textId="123010BC"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3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  <w:r w:rsidR="001C2E15" w:rsidRPr="001C2E15">
        <w:rPr>
          <w:rFonts w:cstheme="minorHAnsi"/>
          <w:sz w:val="24"/>
          <w:szCs w:val="24"/>
          <w:u w:val="single"/>
        </w:rPr>
        <w:t xml:space="preserve"> </w:t>
      </w:r>
    </w:p>
    <w:p w14:paraId="57FA9731" w14:textId="09054B47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0B13F580" w14:textId="77777777"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43870C6A" w14:textId="0B919408"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1F2C2387" w14:textId="666EC4CC"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14:paraId="5EE917E4" w14:textId="77777777"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F421A4" w14:textId="1C951AA6"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14:paraId="66BB4FF7" w14:textId="77777777"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A49167B" w14:textId="32124283"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731770E2" w14:textId="60D95DDB"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241119FB" w14:textId="32649BA6"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</w:t>
      </w:r>
      <w:r w:rsidR="002D49C2" w:rsidRPr="002D49C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14:paraId="70F0501C" w14:textId="35C6E4AD"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14:paraId="4E3E43CC" w14:textId="19885B6F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45BBCC3D" w14:textId="5AB8963F"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0450402" w14:textId="28FEAEB4" w:rsidR="00E2304E" w:rsidRPr="00E2304E" w:rsidRDefault="00EA000C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2304E"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="00E2304E" w:rsidRPr="00E2304E">
        <w:rPr>
          <w:rFonts w:cstheme="minorHAnsi"/>
          <w:sz w:val="24"/>
          <w:szCs w:val="24"/>
        </w:rPr>
        <w:t xml:space="preserve">  Βεβαιώσεις  εισοδημάτων </w:t>
      </w:r>
      <w:r w:rsidR="00E2304E">
        <w:rPr>
          <w:rFonts w:cstheme="minorHAnsi"/>
          <w:sz w:val="24"/>
          <w:szCs w:val="24"/>
        </w:rPr>
        <w:t xml:space="preserve"> του ΦΟΙΤΗΤΗ</w:t>
      </w:r>
      <w:r w:rsidR="00E2304E"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20DE145B" w14:textId="394ACD23"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6A7A8B">
        <w:rPr>
          <w:rFonts w:cstheme="minorHAnsi"/>
          <w:sz w:val="24"/>
          <w:szCs w:val="24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 xml:space="preserve"> </w:t>
      </w:r>
      <w:r w:rsidR="00776800" w:rsidRPr="002D49C2">
        <w:rPr>
          <w:rFonts w:cstheme="minorHAnsi"/>
          <w:sz w:val="24"/>
          <w:szCs w:val="24"/>
          <w:u w:val="single"/>
        </w:rPr>
        <w:t xml:space="preserve">μέσω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FC32A2">
        <w:rPr>
          <w:rFonts w:cstheme="minorHAnsi"/>
          <w:sz w:val="24"/>
          <w:szCs w:val="24"/>
          <w:u w:val="single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14:paraId="0D2219BA" w14:textId="77777777"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14:paraId="1BD96845" w14:textId="2D173A51"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5A897258" w14:textId="77777777"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1967250E" w14:textId="77777777"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14:paraId="49280F38" w14:textId="729DE42E"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6EE188F4" w14:textId="77777777"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14:paraId="7304FADA" w14:textId="1CF4F124"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="00745071"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="00745071" w:rsidRPr="001B0C25">
        <w:rPr>
          <w:rFonts w:cstheme="minorHAnsi"/>
          <w:sz w:val="24"/>
          <w:szCs w:val="24"/>
        </w:rPr>
        <w:t>τριας</w:t>
      </w:r>
      <w:proofErr w:type="spellEnd"/>
      <w:r w:rsidR="00745071"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="00745071" w:rsidRPr="001B0C25">
        <w:rPr>
          <w:rFonts w:cstheme="minorHAnsi"/>
          <w:sz w:val="24"/>
          <w:szCs w:val="24"/>
        </w:rPr>
        <w:t>τρια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 xml:space="preserve"> </w:t>
      </w:r>
      <w:r w:rsidR="00745071"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14:paraId="211878FB" w14:textId="77777777"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10628249" w14:textId="77777777"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20DCB47B" w14:textId="0673D15C"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4E04A40E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231690F8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33C43271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48A45A16" w14:textId="61E00055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="00140B09" w:rsidRPr="001B0C25">
        <w:rPr>
          <w:rFonts w:cstheme="minorHAnsi"/>
          <w:sz w:val="24"/>
          <w:szCs w:val="24"/>
        </w:rPr>
        <w:t>πολυτεκνική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ιδιότητα του φοιτητή.</w:t>
      </w:r>
    </w:p>
    <w:p w14:paraId="6420E58B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</w:t>
      </w:r>
      <w:proofErr w:type="spellStart"/>
      <w:r w:rsidRPr="001B0C25">
        <w:rPr>
          <w:rFonts w:cstheme="minorHAnsi"/>
          <w:sz w:val="24"/>
          <w:szCs w:val="24"/>
        </w:rPr>
        <w:t>νομιμοποιηθέντα</w:t>
      </w:r>
      <w:proofErr w:type="spellEnd"/>
      <w:r w:rsidRPr="001B0C25">
        <w:rPr>
          <w:rFonts w:cstheme="minorHAnsi"/>
          <w:sz w:val="24"/>
          <w:szCs w:val="24"/>
        </w:rPr>
        <w:t xml:space="preserve"> ή νομίμως αναγνωρισθέντα ή υιοθετηθέντα.</w:t>
      </w:r>
    </w:p>
    <w:p w14:paraId="5D12E062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3836F61B" w14:textId="78C020B4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F8C2FDE" w14:textId="77777777"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r w:rsidRPr="001B0C25">
        <w:rPr>
          <w:rFonts w:cstheme="minorHAnsi"/>
          <w:sz w:val="24"/>
          <w:szCs w:val="24"/>
          <w:lang w:val="en-US"/>
        </w:rPr>
        <w:t>Duchenne</w:t>
      </w:r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3978660F" w14:textId="5AF01993"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774555FB" w14:textId="77777777"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14:paraId="700DB60E" w14:textId="29730E12"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14:paraId="590E381C" w14:textId="134C5E42"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14:paraId="118B8249" w14:textId="77777777"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14:paraId="37240513" w14:textId="77777777" w:rsidR="00140B09" w:rsidRPr="005A7362" w:rsidRDefault="00140B09" w:rsidP="00140B0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7BE3884F" w14:textId="3B2C5146"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9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62F139CE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«Απορφανισθέντες φοιτητές από τον ένα ή και από τους δύο γονείς, εφόσον δεν έχουν υπερβεί το 25ο έτος της ηλικίας τους».</w:t>
      </w:r>
    </w:p>
    <w:p w14:paraId="5B437E75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0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lastRenderedPageBreak/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9"/>
    <w:bookmarkEnd w:id="10"/>
    <w:p w14:paraId="3E0603E3" w14:textId="77777777"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308AB566" w14:textId="0A2E83EE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45DE697" w14:textId="6DBD5F78"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14:paraId="0D1FE824" w14:textId="1C196042" w:rsidR="00601D57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1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1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14:paraId="38E28ACE" w14:textId="239A54C0" w:rsidR="00601D57" w:rsidRPr="00714DC1" w:rsidRDefault="00601D57" w:rsidP="00140B09">
      <w:pPr>
        <w:jc w:val="both"/>
        <w:rPr>
          <w:rFonts w:cstheme="minorHAnsi"/>
          <w:bCs/>
          <w:sz w:val="24"/>
          <w:szCs w:val="24"/>
        </w:rPr>
      </w:pPr>
      <w:r w:rsidRPr="00951D3A">
        <w:rPr>
          <w:rFonts w:cstheme="minorHAnsi"/>
          <w:bCs/>
          <w:sz w:val="24"/>
          <w:szCs w:val="24"/>
        </w:rPr>
        <w:t>Στην περίπτωση που οι γονείς</w:t>
      </w:r>
      <w:r w:rsidR="0019669B" w:rsidRPr="0019669B">
        <w:rPr>
          <w:rFonts w:cstheme="minorHAnsi"/>
          <w:bCs/>
          <w:sz w:val="24"/>
          <w:szCs w:val="24"/>
        </w:rPr>
        <w:t xml:space="preserve"> </w:t>
      </w:r>
      <w:r w:rsidR="0019669B">
        <w:rPr>
          <w:rFonts w:cstheme="minorHAnsi"/>
          <w:bCs/>
          <w:sz w:val="24"/>
          <w:szCs w:val="24"/>
        </w:rPr>
        <w:t>του φοιτητή</w:t>
      </w:r>
      <w:r w:rsidRPr="00951D3A">
        <w:rPr>
          <w:rFonts w:cstheme="minorHAnsi"/>
          <w:bCs/>
          <w:sz w:val="24"/>
          <w:szCs w:val="24"/>
        </w:rPr>
        <w:t xml:space="preserve"> είναι διαζευγμένοι και ο  γονέας που έχει αναλάβει την γονική μέριμνα παραμένει άγαμος,</w:t>
      </w:r>
      <w:r>
        <w:rPr>
          <w:rFonts w:cstheme="minorHAnsi"/>
          <w:bCs/>
          <w:sz w:val="24"/>
          <w:szCs w:val="24"/>
        </w:rPr>
        <w:t xml:space="preserve"> θα υποβάλει υπεύθυνη δήλωση </w:t>
      </w:r>
      <w:r w:rsidR="00714DC1" w:rsidRPr="00714DC1">
        <w:rPr>
          <w:rFonts w:cstheme="minorHAnsi"/>
          <w:bCs/>
          <w:sz w:val="24"/>
          <w:szCs w:val="24"/>
        </w:rPr>
        <w:t>ότι, «παραμένει άγαμος και έχει τα αποκλειστικά έξοδα του φοιτητή»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714DC1">
        <w:rPr>
          <w:rFonts w:cstheme="minorHAnsi"/>
          <w:bCs/>
          <w:sz w:val="24"/>
          <w:szCs w:val="24"/>
        </w:rPr>
        <w:t xml:space="preserve"> </w:t>
      </w:r>
      <w:r w:rsidR="00714DC1">
        <w:rPr>
          <w:rFonts w:cstheme="minorHAnsi"/>
          <w:bCs/>
          <w:sz w:val="24"/>
          <w:szCs w:val="24"/>
        </w:rPr>
        <w:t>με</w:t>
      </w:r>
      <w:r w:rsidR="00714DC1" w:rsidRPr="00714DC1">
        <w:rPr>
          <w:rFonts w:cstheme="minorHAnsi"/>
          <w:bCs/>
          <w:sz w:val="24"/>
          <w:szCs w:val="24"/>
        </w:rPr>
        <w:t xml:space="preserve"> το γνήσιο της υπογραφής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FD77F7">
        <w:rPr>
          <w:rFonts w:cstheme="minorHAnsi"/>
          <w:sz w:val="24"/>
          <w:szCs w:val="24"/>
          <w:u w:val="single"/>
        </w:rPr>
        <w:t xml:space="preserve">μέσω της εφαρμογής 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714DC1" w:rsidRPr="00FD77F7">
        <w:rPr>
          <w:rFonts w:cstheme="minorHAnsi"/>
          <w:sz w:val="24"/>
          <w:szCs w:val="24"/>
          <w:u w:val="single"/>
        </w:rPr>
        <w:t>.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714DC1" w:rsidRPr="00714DC1">
        <w:rPr>
          <w:rFonts w:cstheme="minorHAnsi"/>
          <w:bCs/>
          <w:sz w:val="24"/>
          <w:szCs w:val="24"/>
        </w:rPr>
        <w:t>.</w:t>
      </w:r>
    </w:p>
    <w:p w14:paraId="03E6D900" w14:textId="77777777" w:rsidR="00651BFC" w:rsidRPr="00714DC1" w:rsidRDefault="00651BFC" w:rsidP="00140B09">
      <w:pPr>
        <w:jc w:val="both"/>
        <w:rPr>
          <w:rFonts w:cstheme="minorHAnsi"/>
          <w:bCs/>
          <w:sz w:val="24"/>
          <w:szCs w:val="24"/>
        </w:rPr>
      </w:pPr>
    </w:p>
    <w:p w14:paraId="5E87DE5F" w14:textId="33C5E6FA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1D6AC8F1" w14:textId="77777777"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7ABA051D" w14:textId="77777777"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14:paraId="6CABDB6C" w14:textId="3D25D68D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DC654AE" w14:textId="4B9A53D7"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1CAB86DB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7B614BC2" w14:textId="564BB299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5EA44743" w14:textId="46465D16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14:paraId="44C30F89" w14:textId="1BB05222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0A37E6F8" w14:textId="77777777"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1DA476A9" w14:textId="79D3B4A8"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14:paraId="4968FE92" w14:textId="3B958A58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5BFB0453" w14:textId="1134DC25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r w:rsidR="000248A6">
        <w:rPr>
          <w:rFonts w:cstheme="minorHAnsi"/>
          <w:sz w:val="24"/>
          <w:szCs w:val="24"/>
        </w:rPr>
        <w:t>σας,</w:t>
      </w:r>
      <w:r w:rsidR="00745071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από το Τμήμα</w:t>
      </w:r>
      <w:r w:rsidR="001C2E1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>Σίτισης-Στέγασης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47E1C376" w14:textId="6963673B"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</w:t>
      </w:r>
      <w:proofErr w:type="spellStart"/>
      <w:r w:rsidR="00140B09"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="00140B09"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>, τότε</w:t>
      </w:r>
      <w:r w:rsidR="00140B09" w:rsidRPr="001B0C25">
        <w:rPr>
          <w:rFonts w:cstheme="minorHAnsi"/>
          <w:b/>
          <w:sz w:val="24"/>
          <w:szCs w:val="24"/>
        </w:rPr>
        <w:t xml:space="preserve">  </w:t>
      </w:r>
      <w:r w:rsidR="00140B09"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14:paraId="3B146181" w14:textId="77777777"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17ED7153" w14:textId="257C4389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43BD4F8A" w14:textId="0A8156C8"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1EEAE7F6" w14:textId="77777777"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3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09"/>
    <w:rsid w:val="000053B2"/>
    <w:rsid w:val="000061C4"/>
    <w:rsid w:val="000157E4"/>
    <w:rsid w:val="000248A6"/>
    <w:rsid w:val="00026B6D"/>
    <w:rsid w:val="00072CAC"/>
    <w:rsid w:val="00083284"/>
    <w:rsid w:val="00085889"/>
    <w:rsid w:val="000914BC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9669B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658BB"/>
    <w:rsid w:val="00370D05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14492"/>
    <w:rsid w:val="00553F56"/>
    <w:rsid w:val="00574ED7"/>
    <w:rsid w:val="005833E9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1D57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6E1E6A"/>
    <w:rsid w:val="007004CD"/>
    <w:rsid w:val="0070589D"/>
    <w:rsid w:val="00714DC1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B2CBC"/>
    <w:rsid w:val="007E57FA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91036A"/>
    <w:rsid w:val="0091139C"/>
    <w:rsid w:val="00913090"/>
    <w:rsid w:val="0091417F"/>
    <w:rsid w:val="0091700A"/>
    <w:rsid w:val="00921D78"/>
    <w:rsid w:val="0096294B"/>
    <w:rsid w:val="009E5481"/>
    <w:rsid w:val="009E68C8"/>
    <w:rsid w:val="009F0228"/>
    <w:rsid w:val="00A04A25"/>
    <w:rsid w:val="00A06C2C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407E6"/>
    <w:rsid w:val="00C53940"/>
    <w:rsid w:val="00C80213"/>
    <w:rsid w:val="00C843AE"/>
    <w:rsid w:val="00C93EE8"/>
    <w:rsid w:val="00CA3C5E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66F09"/>
    <w:rsid w:val="00D95C75"/>
    <w:rsid w:val="00D9767D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A000C"/>
    <w:rsid w:val="00EB0ABD"/>
    <w:rsid w:val="00F05CC2"/>
    <w:rsid w:val="00F12A3F"/>
    <w:rsid w:val="00F3567D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25B"/>
  <w15:chartTrackingRefBased/>
  <w15:docId w15:val="{B25B667B-04B5-4321-A1AF-F6E970CA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de.g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v.gr/ipiresies/oikogeneia/oikogeneiake-katastase/pistopoietiko-oikogeneiakes-katastas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erimna-apps.uoa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customXml/itemProps3.xml><?xml version="1.0" encoding="utf-8"?>
<ds:datastoreItem xmlns:ds="http://schemas.openxmlformats.org/officeDocument/2006/customXml" ds:itemID="{966259DD-CFC8-4ACE-89D2-BA6241986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3644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</dc:creator>
  <cp:keywords/>
  <dc:description/>
  <cp:lastModifiedBy>Lampros Vandoros</cp:lastModifiedBy>
  <cp:revision>2</cp:revision>
  <cp:lastPrinted>2025-10-21T13:52:00Z</cp:lastPrinted>
  <dcterms:created xsi:type="dcterms:W3CDTF">2025-10-22T07:37:00Z</dcterms:created>
  <dcterms:modified xsi:type="dcterms:W3CDTF">2025-10-22T07:37:00Z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